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64" w:rsidRPr="0026367B" w:rsidRDefault="002B2164" w:rsidP="002B2164">
      <w:pPr>
        <w:spacing w:after="0"/>
        <w:rPr>
          <w:rFonts w:ascii="Calibri" w:hAnsi="Calibri" w:cs="Calibri"/>
          <w:b/>
          <w:sz w:val="28"/>
          <w:szCs w:val="28"/>
        </w:rPr>
      </w:pPr>
      <w:r w:rsidRPr="0026367B">
        <w:rPr>
          <w:rFonts w:ascii="Calibri" w:hAnsi="Calibri" w:cs="Calibri"/>
          <w:b/>
          <w:sz w:val="28"/>
          <w:szCs w:val="28"/>
        </w:rPr>
        <w:t>Training Need</w:t>
      </w:r>
      <w:bookmarkStart w:id="0" w:name="_GoBack"/>
      <w:bookmarkEnd w:id="0"/>
      <w:r w:rsidRPr="0026367B">
        <w:rPr>
          <w:rFonts w:ascii="Calibri" w:hAnsi="Calibri" w:cs="Calibri"/>
          <w:b/>
          <w:sz w:val="28"/>
          <w:szCs w:val="28"/>
        </w:rPr>
        <w:t>s Analysis (TNA) for Research Postgraduate Students</w:t>
      </w:r>
    </w:p>
    <w:p w:rsidR="002B2164" w:rsidRPr="005A19F4" w:rsidRDefault="002B2164" w:rsidP="002B2164">
      <w:pPr>
        <w:spacing w:after="0"/>
      </w:pPr>
    </w:p>
    <w:p w:rsidR="002B2164" w:rsidRPr="003F15B3" w:rsidRDefault="002B2164" w:rsidP="002B2164">
      <w:pPr>
        <w:rPr>
          <w:rFonts w:cstheme="minorHAnsi"/>
          <w:sz w:val="24"/>
          <w:szCs w:val="24"/>
        </w:rPr>
      </w:pPr>
      <w:r w:rsidRPr="003F15B3">
        <w:rPr>
          <w:rFonts w:cstheme="minorHAnsi"/>
          <w:sz w:val="24"/>
          <w:szCs w:val="24"/>
        </w:rPr>
        <w:t xml:space="preserve">Becoming a researcher requires a wide and complex set of skills. The University provides many forms of training, largely through </w:t>
      </w:r>
      <w:r>
        <w:rPr>
          <w:rFonts w:cstheme="minorHAnsi"/>
          <w:sz w:val="24"/>
          <w:szCs w:val="24"/>
        </w:rPr>
        <w:t>CEED</w:t>
      </w:r>
      <w:r w:rsidRPr="003F15B3">
        <w:rPr>
          <w:rFonts w:cstheme="minorHAnsi"/>
          <w:sz w:val="24"/>
          <w:szCs w:val="24"/>
        </w:rPr>
        <w:t xml:space="preserve"> </w:t>
      </w:r>
      <w:r>
        <w:rPr>
          <w:rFonts w:cstheme="minorHAnsi"/>
          <w:sz w:val="24"/>
          <w:szCs w:val="24"/>
        </w:rPr>
        <w:t>(</w:t>
      </w:r>
      <w:r w:rsidRPr="006854B6">
        <w:rPr>
          <w:rFonts w:cstheme="minorHAnsi"/>
          <w:sz w:val="24"/>
          <w:szCs w:val="24"/>
        </w:rPr>
        <w:t>https://www.st-andrews.ac.uk/pgstudents/stleonards/training/</w:t>
      </w:r>
      <w:r>
        <w:rPr>
          <w:rFonts w:cstheme="minorHAnsi"/>
          <w:sz w:val="24"/>
          <w:szCs w:val="24"/>
        </w:rPr>
        <w:t>)</w:t>
      </w:r>
      <w:r w:rsidRPr="003F15B3">
        <w:rPr>
          <w:rFonts w:cstheme="minorHAnsi"/>
          <w:sz w:val="24"/>
          <w:szCs w:val="24"/>
        </w:rPr>
        <w:t xml:space="preserve">. Experience has shown that it is useful for new research postgraduate students to analyse their training needs </w:t>
      </w:r>
      <w:r w:rsidRPr="003F15B3">
        <w:rPr>
          <w:rFonts w:cstheme="minorHAnsi"/>
          <w:b/>
          <w:sz w:val="24"/>
          <w:szCs w:val="24"/>
        </w:rPr>
        <w:t>within the first three months of starting their degree</w:t>
      </w:r>
      <w:r w:rsidRPr="003F15B3">
        <w:rPr>
          <w:rFonts w:cstheme="minorHAnsi"/>
          <w:sz w:val="24"/>
          <w:szCs w:val="24"/>
        </w:rPr>
        <w:t>. University policies require all students to discuss their training needs with their supervisors at regular intervals, and for these discussions to be recorded as part of the Annual Review process.</w:t>
      </w:r>
    </w:p>
    <w:p w:rsidR="002B2164" w:rsidRPr="003F15B3" w:rsidRDefault="002B2164" w:rsidP="002B2164">
      <w:pPr>
        <w:rPr>
          <w:rFonts w:cstheme="minorHAnsi"/>
          <w:sz w:val="24"/>
          <w:szCs w:val="24"/>
        </w:rPr>
      </w:pPr>
      <w:r w:rsidRPr="003F15B3">
        <w:rPr>
          <w:rFonts w:cstheme="minorHAnsi"/>
          <w:sz w:val="24"/>
          <w:szCs w:val="24"/>
        </w:rPr>
        <w:t xml:space="preserve">This form is intended to help structure your analysis of your training needs. </w:t>
      </w:r>
    </w:p>
    <w:p w:rsidR="002B2164" w:rsidRPr="003F15B3" w:rsidRDefault="002B2164" w:rsidP="002B2164">
      <w:pPr>
        <w:rPr>
          <w:rFonts w:cstheme="minorHAnsi"/>
          <w:sz w:val="24"/>
          <w:szCs w:val="24"/>
        </w:rPr>
      </w:pPr>
      <w:r w:rsidRPr="003F15B3">
        <w:rPr>
          <w:rFonts w:cstheme="minorHAnsi"/>
          <w:sz w:val="24"/>
          <w:szCs w:val="24"/>
        </w:rPr>
        <w:t xml:space="preserve">Please </w:t>
      </w:r>
      <w:r w:rsidRPr="003F15B3">
        <w:rPr>
          <w:rFonts w:cstheme="minorHAnsi"/>
          <w:b/>
          <w:sz w:val="24"/>
          <w:szCs w:val="24"/>
        </w:rPr>
        <w:t>first read the Vitae Research Development Framework (RDF)</w:t>
      </w:r>
      <w:r w:rsidRPr="003F15B3">
        <w:rPr>
          <w:rFonts w:cstheme="minorHAnsi"/>
          <w:sz w:val="24"/>
          <w:szCs w:val="24"/>
        </w:rPr>
        <w:t xml:space="preserve">, available at </w:t>
      </w:r>
      <w:hyperlink r:id="rId7" w:history="1">
        <w:r w:rsidRPr="003F15B3">
          <w:rPr>
            <w:rStyle w:val="Hyperlink"/>
            <w:rFonts w:cstheme="minorHAnsi"/>
            <w:sz w:val="24"/>
            <w:szCs w:val="24"/>
          </w:rPr>
          <w:t>https://www.vitae.ac.uk/vitae-publications/rdf-related/researcher-development-framework-rdf-vitae.pdf/view</w:t>
        </w:r>
      </w:hyperlink>
      <w:r w:rsidRPr="003F15B3">
        <w:rPr>
          <w:rFonts w:cstheme="minorHAnsi"/>
          <w:sz w:val="24"/>
          <w:szCs w:val="24"/>
        </w:rPr>
        <w:t>. The RDF is an attempt to provide a structure for researcher training, and is supported by research organisations including the ERC and the UK Research Councils.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2B2164" w:rsidRPr="005A19F4" w:rsidTr="00DA354F">
        <w:tc>
          <w:tcPr>
            <w:tcW w:w="9016" w:type="dxa"/>
          </w:tcPr>
          <w:p w:rsidR="002B2164" w:rsidRPr="005A19F4" w:rsidRDefault="002B2164" w:rsidP="00DA354F">
            <w:pPr>
              <w:jc w:val="center"/>
              <w:rPr>
                <w:rFonts w:ascii="Arial" w:hAnsi="Arial" w:cs="Arial"/>
              </w:rPr>
            </w:pPr>
            <w:r w:rsidRPr="005A19F4">
              <w:rPr>
                <w:rFonts w:ascii="Arial" w:hAnsi="Arial" w:cs="Arial"/>
                <w:noProof/>
              </w:rPr>
              <w:drawing>
                <wp:inline distT="0" distB="0" distL="0" distR="0" wp14:anchorId="21DC39DC" wp14:editId="18A46B31">
                  <wp:extent cx="5016616" cy="3424965"/>
                  <wp:effectExtent l="38100" t="38100" r="101600" b="1060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331" cy="3441156"/>
                          </a:xfrm>
                          <a:prstGeom prst="rect">
                            <a:avLst/>
                          </a:prstGeom>
                          <a:noFill/>
                          <a:ln>
                            <a:solidFill>
                              <a:srgbClr val="9BBB59"/>
                            </a:solidFill>
                          </a:ln>
                          <a:effectLst>
                            <a:outerShdw blurRad="50800" dist="38100" dir="2700000" algn="tl" rotWithShape="0">
                              <a:prstClr val="black">
                                <a:alpha val="40000"/>
                              </a:prstClr>
                            </a:outerShdw>
                          </a:effectLst>
                        </pic:spPr>
                      </pic:pic>
                    </a:graphicData>
                  </a:graphic>
                </wp:inline>
              </w:drawing>
            </w:r>
          </w:p>
        </w:tc>
      </w:tr>
      <w:tr w:rsidR="002B2164" w:rsidRPr="005A19F4" w:rsidTr="00DA354F">
        <w:tc>
          <w:tcPr>
            <w:tcW w:w="9016" w:type="dxa"/>
          </w:tcPr>
          <w:p w:rsidR="002B2164" w:rsidRPr="005A19F4" w:rsidRDefault="002B2164" w:rsidP="00DA354F">
            <w:pPr>
              <w:jc w:val="center"/>
              <w:rPr>
                <w:rFonts w:ascii="Arial" w:hAnsi="Arial" w:cs="Arial"/>
                <w:i/>
              </w:rPr>
            </w:pPr>
            <w:r w:rsidRPr="005A19F4">
              <w:rPr>
                <w:rFonts w:ascii="Arial" w:hAnsi="Arial" w:cs="Arial"/>
                <w:i/>
              </w:rPr>
              <w:t>Part of the Vitae RDF, showing a four-fold analysis of a typical researcher’s skill set.</w:t>
            </w:r>
          </w:p>
        </w:tc>
      </w:tr>
    </w:tbl>
    <w:p w:rsidR="002B2164" w:rsidRDefault="002B2164" w:rsidP="002B2164">
      <w:pPr>
        <w:rPr>
          <w:rFonts w:ascii="Arial" w:hAnsi="Arial" w:cs="Arial"/>
        </w:rPr>
      </w:pPr>
    </w:p>
    <w:p w:rsidR="002B2164" w:rsidRPr="003F15B3" w:rsidRDefault="002B2164" w:rsidP="002B2164">
      <w:pPr>
        <w:rPr>
          <w:rFonts w:cstheme="minorHAnsi"/>
          <w:sz w:val="24"/>
          <w:szCs w:val="24"/>
        </w:rPr>
      </w:pPr>
      <w:r w:rsidRPr="003F15B3">
        <w:rPr>
          <w:rFonts w:cstheme="minorHAnsi"/>
          <w:sz w:val="24"/>
          <w:szCs w:val="24"/>
        </w:rPr>
        <w:t xml:space="preserve">You should then </w:t>
      </w:r>
      <w:r w:rsidRPr="003F15B3">
        <w:rPr>
          <w:rFonts w:cstheme="minorHAnsi"/>
          <w:b/>
          <w:sz w:val="24"/>
          <w:szCs w:val="24"/>
        </w:rPr>
        <w:t>complete the first part of this form</w:t>
      </w:r>
      <w:r w:rsidRPr="003F15B3">
        <w:rPr>
          <w:rFonts w:cstheme="minorHAnsi"/>
          <w:sz w:val="24"/>
          <w:szCs w:val="24"/>
        </w:rPr>
        <w:t xml:space="preserve">, which is structured around the skills categories specified in the RDF. Next, you should </w:t>
      </w:r>
      <w:r w:rsidRPr="003F15B3">
        <w:rPr>
          <w:rFonts w:cstheme="minorHAnsi"/>
          <w:b/>
          <w:sz w:val="24"/>
          <w:szCs w:val="24"/>
        </w:rPr>
        <w:t>discuss your form with your supervisors and complete a training plan together</w:t>
      </w:r>
      <w:r w:rsidRPr="003F15B3">
        <w:rPr>
          <w:rFonts w:cstheme="minorHAnsi"/>
          <w:sz w:val="24"/>
          <w:szCs w:val="24"/>
        </w:rPr>
        <w:t xml:space="preserve"> (the second part of this form). You will be asked to comment on your training plan and needs at your annual review.</w:t>
      </w:r>
    </w:p>
    <w:p w:rsidR="002B2164" w:rsidRPr="005A19F4" w:rsidRDefault="002B2164" w:rsidP="002B2164">
      <w:pPr>
        <w:rPr>
          <w:rFonts w:ascii="Arial" w:hAnsi="Arial" w:cs="Arial"/>
        </w:rPr>
      </w:pPr>
      <w:r w:rsidRPr="003F15B3">
        <w:rPr>
          <w:rFonts w:cstheme="minorHAnsi"/>
          <w:sz w:val="24"/>
          <w:szCs w:val="24"/>
        </w:rPr>
        <w:t xml:space="preserve">If you have any questions about this Training Needs Analysis, or about the many training opportunities available to you, </w:t>
      </w:r>
      <w:r>
        <w:rPr>
          <w:rFonts w:cstheme="minorHAnsi"/>
          <w:sz w:val="24"/>
          <w:szCs w:val="24"/>
        </w:rPr>
        <w:t xml:space="preserve">or if you have suggestions for future training, </w:t>
      </w:r>
      <w:r w:rsidRPr="003F15B3">
        <w:rPr>
          <w:rFonts w:cstheme="minorHAnsi"/>
          <w:sz w:val="24"/>
          <w:szCs w:val="24"/>
        </w:rPr>
        <w:t>please discuss them with your supervisors or with the Director for Postgraduate Research</w:t>
      </w:r>
      <w:r>
        <w:rPr>
          <w:rFonts w:cstheme="minorHAnsi"/>
          <w:sz w:val="24"/>
          <w:szCs w:val="24"/>
        </w:rPr>
        <w:t>.</w:t>
      </w:r>
      <w:r w:rsidRPr="005A19F4">
        <w:rPr>
          <w:rFonts w:ascii="Arial" w:hAnsi="Arial" w:cs="Arial"/>
        </w:rPr>
        <w:br w:type="page"/>
      </w:r>
    </w:p>
    <w:p w:rsidR="002B2164" w:rsidRPr="003F15B3" w:rsidRDefault="002B2164" w:rsidP="002B2164">
      <w:pPr>
        <w:pStyle w:val="ILH2"/>
        <w:rPr>
          <w:rFonts w:asciiTheme="minorHAnsi" w:hAnsiTheme="minorHAnsi" w:cstheme="minorHAnsi"/>
          <w:sz w:val="24"/>
          <w:szCs w:val="24"/>
        </w:rPr>
      </w:pPr>
      <w:r w:rsidRPr="003F15B3">
        <w:rPr>
          <w:rFonts w:asciiTheme="minorHAnsi" w:hAnsiTheme="minorHAnsi" w:cstheme="minorHAnsi"/>
          <w:sz w:val="24"/>
          <w:szCs w:val="24"/>
        </w:rPr>
        <w:lastRenderedPageBreak/>
        <w:t>Part 1: Training Needs Analysis</w:t>
      </w:r>
    </w:p>
    <w:tbl>
      <w:tblPr>
        <w:tblStyle w:val="TableGrid"/>
        <w:tblW w:w="0" w:type="auto"/>
        <w:tblLook w:val="04A0" w:firstRow="1" w:lastRow="0" w:firstColumn="1" w:lastColumn="0" w:noHBand="0" w:noVBand="1"/>
      </w:tblPr>
      <w:tblGrid>
        <w:gridCol w:w="2282"/>
        <w:gridCol w:w="6020"/>
      </w:tblGrid>
      <w:tr w:rsidR="002B2164" w:rsidRPr="00793D65" w:rsidTr="00DA354F">
        <w:tc>
          <w:tcPr>
            <w:tcW w:w="2405" w:type="dxa"/>
            <w:shd w:val="clear" w:color="auto" w:fill="C9C9C9" w:themeFill="accent3" w:themeFillTint="99"/>
          </w:tcPr>
          <w:p w:rsidR="002B2164" w:rsidRPr="00793D65" w:rsidRDefault="002B2164" w:rsidP="00DA354F">
            <w:pPr>
              <w:rPr>
                <w:rFonts w:asciiTheme="minorHAnsi" w:hAnsiTheme="minorHAnsi" w:cstheme="minorHAnsi"/>
                <w:b/>
                <w:color w:val="000000" w:themeColor="text1"/>
                <w:sz w:val="24"/>
                <w:szCs w:val="24"/>
              </w:rPr>
            </w:pPr>
            <w:r w:rsidRPr="00793D65">
              <w:rPr>
                <w:rFonts w:asciiTheme="minorHAnsi" w:hAnsiTheme="minorHAnsi" w:cstheme="minorHAnsi"/>
                <w:b/>
                <w:color w:val="000000" w:themeColor="text1"/>
                <w:sz w:val="24"/>
                <w:szCs w:val="24"/>
              </w:rPr>
              <w:t>Student name:</w:t>
            </w:r>
          </w:p>
        </w:tc>
        <w:tc>
          <w:tcPr>
            <w:tcW w:w="6611" w:type="dxa"/>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2405" w:type="dxa"/>
            <w:shd w:val="clear" w:color="auto" w:fill="C9C9C9" w:themeFill="accent3" w:themeFillTint="99"/>
          </w:tcPr>
          <w:p w:rsidR="002B2164" w:rsidRPr="00793D65" w:rsidRDefault="002B2164" w:rsidP="00DA354F">
            <w:pPr>
              <w:rPr>
                <w:rFonts w:asciiTheme="minorHAnsi" w:hAnsiTheme="minorHAnsi" w:cstheme="minorHAnsi"/>
                <w:b/>
                <w:color w:val="000000" w:themeColor="text1"/>
                <w:sz w:val="24"/>
                <w:szCs w:val="24"/>
              </w:rPr>
            </w:pPr>
            <w:r w:rsidRPr="00793D65">
              <w:rPr>
                <w:rFonts w:asciiTheme="minorHAnsi" w:hAnsiTheme="minorHAnsi" w:cstheme="minorHAnsi"/>
                <w:b/>
                <w:color w:val="000000" w:themeColor="text1"/>
                <w:sz w:val="24"/>
                <w:szCs w:val="24"/>
              </w:rPr>
              <w:t>Date of analysis:</w:t>
            </w:r>
          </w:p>
        </w:tc>
        <w:tc>
          <w:tcPr>
            <w:tcW w:w="6611" w:type="dxa"/>
          </w:tcPr>
          <w:p w:rsidR="002B2164" w:rsidRPr="00793D65" w:rsidRDefault="002B2164" w:rsidP="00DA354F">
            <w:pPr>
              <w:rPr>
                <w:rFonts w:asciiTheme="minorHAnsi" w:hAnsiTheme="minorHAnsi" w:cstheme="minorHAnsi"/>
                <w:color w:val="000000" w:themeColor="text1"/>
                <w:sz w:val="24"/>
                <w:szCs w:val="24"/>
              </w:rPr>
            </w:pPr>
          </w:p>
        </w:tc>
      </w:tr>
    </w:tbl>
    <w:p w:rsidR="002B2164" w:rsidRPr="00793D65" w:rsidRDefault="002B2164" w:rsidP="002B2164">
      <w:pPr>
        <w:rPr>
          <w:rFonts w:cstheme="minorHAnsi"/>
          <w:color w:val="000000" w:themeColor="text1"/>
          <w:sz w:val="24"/>
          <w:szCs w:val="24"/>
        </w:rPr>
      </w:pPr>
      <w:r w:rsidRPr="00793D65">
        <w:rPr>
          <w:rFonts w:cstheme="minorHAnsi"/>
          <w:color w:val="000000" w:themeColor="text1"/>
          <w:sz w:val="24"/>
          <w:szCs w:val="24"/>
        </w:rPr>
        <w:t>Specify the areas below where you would like to develop your skills, over the coming academic year. You should discuss with your Supervisors how you can meet these needs, whether through attending courses at St Andrews, external training from the SGSSS, practical experience, internships, or other appropriate avenues. The boxes can be expanded.</w:t>
      </w:r>
    </w:p>
    <w:tbl>
      <w:tblPr>
        <w:tblStyle w:val="TableGrid"/>
        <w:tblW w:w="0" w:type="auto"/>
        <w:tblLook w:val="04A0" w:firstRow="1" w:lastRow="0" w:firstColumn="1" w:lastColumn="0" w:noHBand="0" w:noVBand="1"/>
      </w:tblPr>
      <w:tblGrid>
        <w:gridCol w:w="2746"/>
        <w:gridCol w:w="1696"/>
        <w:gridCol w:w="3860"/>
      </w:tblGrid>
      <w:tr w:rsidR="002B2164" w:rsidRPr="00793D65" w:rsidTr="00DA354F">
        <w:tc>
          <w:tcPr>
            <w:tcW w:w="2911" w:type="dxa"/>
            <w:shd w:val="clear" w:color="auto" w:fill="C9C9C9" w:themeFill="accent3" w:themeFillTint="99"/>
          </w:tcPr>
          <w:p w:rsidR="002B2164" w:rsidRPr="00793D65" w:rsidRDefault="002B2164" w:rsidP="00DA354F">
            <w:pPr>
              <w:rPr>
                <w:rFonts w:asciiTheme="minorHAnsi" w:hAnsiTheme="minorHAnsi" w:cstheme="minorHAnsi"/>
                <w:b/>
                <w:color w:val="000000" w:themeColor="text1"/>
                <w:sz w:val="24"/>
                <w:szCs w:val="24"/>
              </w:rPr>
            </w:pPr>
            <w:r w:rsidRPr="00793D65">
              <w:rPr>
                <w:rFonts w:asciiTheme="minorHAnsi" w:hAnsiTheme="minorHAnsi" w:cstheme="minorHAnsi"/>
                <w:b/>
                <w:color w:val="000000" w:themeColor="text1"/>
                <w:sz w:val="24"/>
                <w:szCs w:val="24"/>
              </w:rPr>
              <w:t>Area</w:t>
            </w:r>
          </w:p>
        </w:tc>
        <w:tc>
          <w:tcPr>
            <w:tcW w:w="1708" w:type="dxa"/>
            <w:shd w:val="clear" w:color="auto" w:fill="C9C9C9" w:themeFill="accent3" w:themeFillTint="99"/>
          </w:tcPr>
          <w:p w:rsidR="002B2164" w:rsidRPr="00793D65" w:rsidRDefault="002B2164" w:rsidP="00DA354F">
            <w:pPr>
              <w:rPr>
                <w:rFonts w:asciiTheme="minorHAnsi" w:hAnsiTheme="minorHAnsi" w:cstheme="minorHAnsi"/>
                <w:b/>
                <w:color w:val="000000" w:themeColor="text1"/>
                <w:sz w:val="24"/>
                <w:szCs w:val="24"/>
              </w:rPr>
            </w:pPr>
            <w:r w:rsidRPr="00793D65">
              <w:rPr>
                <w:rFonts w:asciiTheme="minorHAnsi" w:hAnsiTheme="minorHAnsi" w:cstheme="minorHAnsi"/>
                <w:b/>
                <w:color w:val="000000" w:themeColor="text1"/>
                <w:sz w:val="24"/>
                <w:szCs w:val="24"/>
              </w:rPr>
              <w:t>Requires development?</w:t>
            </w:r>
          </w:p>
        </w:tc>
        <w:tc>
          <w:tcPr>
            <w:tcW w:w="4623" w:type="dxa"/>
            <w:shd w:val="clear" w:color="auto" w:fill="C9C9C9" w:themeFill="accent3" w:themeFillTint="99"/>
          </w:tcPr>
          <w:p w:rsidR="002B2164" w:rsidRPr="00793D65" w:rsidRDefault="002B2164" w:rsidP="00DA354F">
            <w:pPr>
              <w:rPr>
                <w:rFonts w:asciiTheme="minorHAnsi" w:hAnsiTheme="minorHAnsi" w:cstheme="minorHAnsi"/>
                <w:b/>
                <w:color w:val="000000" w:themeColor="text1"/>
                <w:sz w:val="24"/>
                <w:szCs w:val="24"/>
              </w:rPr>
            </w:pPr>
            <w:r w:rsidRPr="00793D65">
              <w:rPr>
                <w:rFonts w:asciiTheme="minorHAnsi" w:hAnsiTheme="minorHAnsi" w:cstheme="minorHAnsi"/>
                <w:b/>
                <w:color w:val="000000" w:themeColor="text1"/>
                <w:sz w:val="24"/>
                <w:szCs w:val="24"/>
              </w:rPr>
              <w:t>Comments</w:t>
            </w:r>
          </w:p>
        </w:tc>
      </w:tr>
      <w:tr w:rsidR="002B2164" w:rsidRPr="00793D65" w:rsidTr="00DA354F">
        <w:tc>
          <w:tcPr>
            <w:tcW w:w="9242" w:type="dxa"/>
            <w:gridSpan w:val="3"/>
            <w:shd w:val="clear" w:color="auto" w:fill="D9E2F3" w:themeFill="accent5" w:themeFillTint="3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A1 – Knowledge Base</w:t>
            </w: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rPr>
          <w:trHeight w:val="3613"/>
        </w:trPr>
        <w:tc>
          <w:tcPr>
            <w:tcW w:w="2911" w:type="dxa"/>
            <w:shd w:val="clear" w:color="auto" w:fill="DBDBDB" w:themeFill="accent3" w:themeFillTint="66"/>
          </w:tcPr>
          <w:p w:rsidR="002B2164" w:rsidRPr="00793D65" w:rsidRDefault="002B2164" w:rsidP="002B2164">
            <w:pPr>
              <w:pStyle w:val="ListParagraph"/>
              <w:numPr>
                <w:ilvl w:val="0"/>
                <w:numId w:val="3"/>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Subject Knowledge</w:t>
            </w:r>
          </w:p>
          <w:p w:rsidR="002B2164" w:rsidRPr="00793D65" w:rsidRDefault="002B2164" w:rsidP="002B2164">
            <w:pPr>
              <w:pStyle w:val="ListParagraph"/>
              <w:numPr>
                <w:ilvl w:val="0"/>
                <w:numId w:val="3"/>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Research methods – theoretical knowledge</w:t>
            </w:r>
          </w:p>
          <w:p w:rsidR="002B2164" w:rsidRPr="00793D65" w:rsidRDefault="002B2164" w:rsidP="002B2164">
            <w:pPr>
              <w:pStyle w:val="ListParagraph"/>
              <w:numPr>
                <w:ilvl w:val="0"/>
                <w:numId w:val="3"/>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Research methods – Practical application</w:t>
            </w:r>
          </w:p>
          <w:p w:rsidR="002B2164" w:rsidRPr="00793D65" w:rsidRDefault="002B2164" w:rsidP="002B2164">
            <w:pPr>
              <w:pStyle w:val="ListParagraph"/>
              <w:numPr>
                <w:ilvl w:val="0"/>
                <w:numId w:val="3"/>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Information Seeking</w:t>
            </w:r>
          </w:p>
          <w:p w:rsidR="002B2164" w:rsidRPr="00793D65" w:rsidRDefault="002B2164" w:rsidP="002B2164">
            <w:pPr>
              <w:pStyle w:val="ListParagraph"/>
              <w:numPr>
                <w:ilvl w:val="0"/>
                <w:numId w:val="3"/>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Information literacy and management</w:t>
            </w:r>
          </w:p>
          <w:p w:rsidR="002B2164" w:rsidRPr="00793D65" w:rsidRDefault="002B2164" w:rsidP="002B2164">
            <w:pPr>
              <w:pStyle w:val="ListParagraph"/>
              <w:numPr>
                <w:ilvl w:val="0"/>
                <w:numId w:val="3"/>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 xml:space="preserve">Languages </w:t>
            </w:r>
          </w:p>
          <w:p w:rsidR="002B2164" w:rsidRPr="00793D65" w:rsidRDefault="002B2164" w:rsidP="002B2164">
            <w:pPr>
              <w:pStyle w:val="ListParagraph"/>
              <w:numPr>
                <w:ilvl w:val="0"/>
                <w:numId w:val="3"/>
              </w:numPr>
              <w:spacing w:before="120" w:after="120"/>
              <w:ind w:left="426" w:hanging="284"/>
            </w:pPr>
            <w:r w:rsidRPr="00793D65">
              <w:rPr>
                <w:rFonts w:asciiTheme="minorHAnsi" w:hAnsiTheme="minorHAnsi" w:cstheme="minorHAnsi"/>
                <w:sz w:val="24"/>
                <w:szCs w:val="24"/>
              </w:rPr>
              <w:t>Academic literacy and numeracy</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D9E2F3" w:themeFill="accent5" w:themeFillTint="3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A2 – Cognitive abilities</w:t>
            </w:r>
          </w:p>
        </w:tc>
      </w:tr>
      <w:tr w:rsidR="002B2164" w:rsidRPr="00793D65" w:rsidTr="00DA354F">
        <w:trPr>
          <w:trHeight w:val="1758"/>
        </w:trPr>
        <w:tc>
          <w:tcPr>
            <w:tcW w:w="2911" w:type="dxa"/>
            <w:shd w:val="clear" w:color="auto" w:fill="DBDBDB" w:themeFill="accent3" w:themeFillTint="66"/>
          </w:tcPr>
          <w:p w:rsidR="002B2164" w:rsidRPr="00793D65" w:rsidRDefault="002B2164" w:rsidP="002B2164">
            <w:pPr>
              <w:pStyle w:val="ListParagraph"/>
              <w:numPr>
                <w:ilvl w:val="0"/>
                <w:numId w:val="4"/>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 xml:space="preserve">Analysing </w:t>
            </w:r>
          </w:p>
          <w:p w:rsidR="002B2164" w:rsidRPr="00793D65" w:rsidRDefault="002B2164" w:rsidP="002B2164">
            <w:pPr>
              <w:pStyle w:val="ListParagraph"/>
              <w:numPr>
                <w:ilvl w:val="0"/>
                <w:numId w:val="4"/>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 xml:space="preserve">Synthesising </w:t>
            </w:r>
          </w:p>
          <w:p w:rsidR="002B2164" w:rsidRPr="00793D65" w:rsidRDefault="002B2164" w:rsidP="002B2164">
            <w:pPr>
              <w:pStyle w:val="ListParagraph"/>
              <w:numPr>
                <w:ilvl w:val="0"/>
                <w:numId w:val="4"/>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Critical thinking</w:t>
            </w:r>
          </w:p>
          <w:p w:rsidR="002B2164" w:rsidRPr="00793D65" w:rsidRDefault="002B2164" w:rsidP="002B2164">
            <w:pPr>
              <w:pStyle w:val="ListParagraph"/>
              <w:numPr>
                <w:ilvl w:val="0"/>
                <w:numId w:val="4"/>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Evaluating</w:t>
            </w:r>
          </w:p>
          <w:p w:rsidR="002B2164" w:rsidRPr="00793D65" w:rsidRDefault="002B2164" w:rsidP="002B2164">
            <w:pPr>
              <w:pStyle w:val="ListParagraph"/>
              <w:numPr>
                <w:ilvl w:val="0"/>
                <w:numId w:val="4"/>
              </w:numPr>
              <w:spacing w:before="120" w:after="120"/>
              <w:ind w:left="426" w:hanging="284"/>
              <w:rPr>
                <w:rFonts w:cstheme="minorHAnsi"/>
                <w:sz w:val="24"/>
                <w:szCs w:val="24"/>
              </w:rPr>
            </w:pPr>
            <w:r w:rsidRPr="00793D65">
              <w:rPr>
                <w:rFonts w:asciiTheme="minorHAnsi" w:hAnsiTheme="minorHAnsi" w:cstheme="minorHAnsi"/>
                <w:sz w:val="24"/>
                <w:szCs w:val="24"/>
              </w:rPr>
              <w:t>Problem Solving</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D9E2F3" w:themeFill="accent5" w:themeFillTint="3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A3 – Creativity</w:t>
            </w:r>
          </w:p>
        </w:tc>
      </w:tr>
      <w:tr w:rsidR="002B2164" w:rsidRPr="00793D65" w:rsidTr="00DA354F">
        <w:trPr>
          <w:trHeight w:val="2010"/>
        </w:trPr>
        <w:tc>
          <w:tcPr>
            <w:tcW w:w="2911" w:type="dxa"/>
            <w:shd w:val="clear" w:color="auto" w:fill="DBDBDB" w:themeFill="accent3" w:themeFillTint="66"/>
          </w:tcPr>
          <w:p w:rsidR="002B2164" w:rsidRPr="00793D65" w:rsidRDefault="002B2164" w:rsidP="002B2164">
            <w:pPr>
              <w:pStyle w:val="ListParagraph"/>
              <w:numPr>
                <w:ilvl w:val="0"/>
                <w:numId w:val="5"/>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color w:val="000000" w:themeColor="text1"/>
                <w:sz w:val="24"/>
                <w:szCs w:val="24"/>
              </w:rPr>
              <w:t>Inquiring minds</w:t>
            </w:r>
          </w:p>
          <w:p w:rsidR="002B2164" w:rsidRPr="00793D65" w:rsidRDefault="002B2164" w:rsidP="002B2164">
            <w:pPr>
              <w:pStyle w:val="ListParagraph"/>
              <w:numPr>
                <w:ilvl w:val="0"/>
                <w:numId w:val="5"/>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Intellectual insight</w:t>
            </w:r>
          </w:p>
          <w:p w:rsidR="002B2164" w:rsidRPr="00793D65" w:rsidRDefault="002B2164" w:rsidP="002B2164">
            <w:pPr>
              <w:pStyle w:val="ListParagraph"/>
              <w:numPr>
                <w:ilvl w:val="0"/>
                <w:numId w:val="5"/>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Innovation</w:t>
            </w:r>
          </w:p>
          <w:p w:rsidR="002B2164" w:rsidRPr="00793D65" w:rsidRDefault="002B2164" w:rsidP="002B2164">
            <w:pPr>
              <w:pStyle w:val="ListParagraph"/>
              <w:numPr>
                <w:ilvl w:val="0"/>
                <w:numId w:val="5"/>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Argument construction</w:t>
            </w:r>
          </w:p>
          <w:p w:rsidR="002B2164" w:rsidRPr="00793D65" w:rsidRDefault="002B2164" w:rsidP="002B2164">
            <w:pPr>
              <w:pStyle w:val="ListParagraph"/>
              <w:numPr>
                <w:ilvl w:val="0"/>
                <w:numId w:val="5"/>
              </w:numPr>
              <w:spacing w:before="120" w:after="120"/>
              <w:ind w:left="426" w:hanging="284"/>
              <w:rPr>
                <w:rFonts w:asciiTheme="minorHAnsi" w:hAnsiTheme="minorHAnsi" w:cstheme="minorHAnsi"/>
                <w:color w:val="000000" w:themeColor="text1"/>
                <w:sz w:val="24"/>
                <w:szCs w:val="24"/>
              </w:rPr>
            </w:pPr>
            <w:r w:rsidRPr="00793D65">
              <w:rPr>
                <w:rFonts w:asciiTheme="minorHAnsi" w:hAnsiTheme="minorHAnsi" w:cstheme="minorHAnsi"/>
                <w:sz w:val="24"/>
                <w:szCs w:val="24"/>
              </w:rPr>
              <w:t>Intellectual risk</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D5D3E3"/>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B1 – Personal qualities</w:t>
            </w:r>
          </w:p>
        </w:tc>
      </w:tr>
      <w:tr w:rsidR="002B2164" w:rsidRPr="00793D65" w:rsidTr="00DA354F">
        <w:trPr>
          <w:trHeight w:val="2322"/>
        </w:trPr>
        <w:tc>
          <w:tcPr>
            <w:tcW w:w="2911" w:type="dxa"/>
            <w:shd w:val="clear" w:color="auto" w:fill="DBDBDB" w:themeFill="accent3" w:themeFillTint="66"/>
          </w:tcPr>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lastRenderedPageBreak/>
              <w:t xml:space="preserve">Enthusiasm </w:t>
            </w:r>
          </w:p>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Perseverance</w:t>
            </w:r>
          </w:p>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Integrity</w:t>
            </w:r>
          </w:p>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Self-confidence</w:t>
            </w:r>
          </w:p>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Self-reflection</w:t>
            </w:r>
          </w:p>
          <w:p w:rsidR="002B2164" w:rsidRPr="00793D65" w:rsidRDefault="002B2164" w:rsidP="002B2164">
            <w:pPr>
              <w:pStyle w:val="ListParagraph"/>
              <w:numPr>
                <w:ilvl w:val="0"/>
                <w:numId w:val="6"/>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Responsibility</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D5D3E3"/>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B2 – Self management</w:t>
            </w:r>
          </w:p>
        </w:tc>
      </w:tr>
      <w:tr w:rsidR="002B2164" w:rsidRPr="00793D65" w:rsidTr="00DA354F">
        <w:trPr>
          <w:trHeight w:val="2505"/>
        </w:trPr>
        <w:tc>
          <w:tcPr>
            <w:tcW w:w="2911" w:type="dxa"/>
            <w:shd w:val="clear" w:color="auto" w:fill="DBDBDB" w:themeFill="accent3" w:themeFillTint="66"/>
          </w:tcPr>
          <w:p w:rsidR="002B2164" w:rsidRPr="00793D65" w:rsidRDefault="002B2164" w:rsidP="002B2164">
            <w:pPr>
              <w:pStyle w:val="ListParagraph"/>
              <w:numPr>
                <w:ilvl w:val="0"/>
                <w:numId w:val="7"/>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Preparation and prioritisation</w:t>
            </w:r>
          </w:p>
          <w:p w:rsidR="002B2164" w:rsidRPr="00793D65" w:rsidRDefault="002B2164" w:rsidP="002B2164">
            <w:pPr>
              <w:pStyle w:val="ListParagraph"/>
              <w:numPr>
                <w:ilvl w:val="0"/>
                <w:numId w:val="7"/>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Commitment to research</w:t>
            </w:r>
          </w:p>
          <w:p w:rsidR="002B2164" w:rsidRPr="00793D65" w:rsidRDefault="002B2164" w:rsidP="002B2164">
            <w:pPr>
              <w:pStyle w:val="ListParagraph"/>
              <w:numPr>
                <w:ilvl w:val="0"/>
                <w:numId w:val="7"/>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Time management</w:t>
            </w:r>
          </w:p>
          <w:p w:rsidR="002B2164" w:rsidRPr="00793D65" w:rsidRDefault="002B2164" w:rsidP="002B2164">
            <w:pPr>
              <w:pStyle w:val="ListParagraph"/>
              <w:numPr>
                <w:ilvl w:val="0"/>
                <w:numId w:val="7"/>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Responsiveness to change</w:t>
            </w:r>
          </w:p>
          <w:p w:rsidR="002B2164" w:rsidRPr="00793D65" w:rsidRDefault="002B2164" w:rsidP="002B2164">
            <w:pPr>
              <w:pStyle w:val="ListParagraph"/>
              <w:numPr>
                <w:ilvl w:val="0"/>
                <w:numId w:val="7"/>
              </w:numPr>
              <w:spacing w:before="120" w:after="120"/>
              <w:ind w:left="426" w:hanging="284"/>
            </w:pPr>
            <w:r w:rsidRPr="00793D65">
              <w:rPr>
                <w:rFonts w:asciiTheme="minorHAnsi" w:hAnsiTheme="minorHAnsi" w:cstheme="minorHAnsi"/>
                <w:sz w:val="24"/>
                <w:szCs w:val="24"/>
              </w:rPr>
              <w:t>Work-life balanc</w:t>
            </w:r>
            <w:r>
              <w:rPr>
                <w:rFonts w:asciiTheme="minorHAnsi" w:hAnsiTheme="minorHAnsi" w:cstheme="minorHAnsi"/>
                <w:sz w:val="24"/>
                <w:szCs w:val="24"/>
              </w:rPr>
              <w:t>e</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D5D3E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B3 – Professional &amp; career development</w:t>
            </w:r>
          </w:p>
        </w:tc>
      </w:tr>
      <w:tr w:rsidR="002B2164" w:rsidRPr="00793D65" w:rsidTr="00DA354F">
        <w:trPr>
          <w:trHeight w:val="2505"/>
        </w:trPr>
        <w:tc>
          <w:tcPr>
            <w:tcW w:w="2911" w:type="dxa"/>
            <w:shd w:val="clear" w:color="auto" w:fill="DBDBDB" w:themeFill="accent3" w:themeFillTint="66"/>
          </w:tcPr>
          <w:p w:rsidR="002B2164" w:rsidRPr="00793D65" w:rsidRDefault="002B2164" w:rsidP="002B2164">
            <w:pPr>
              <w:pStyle w:val="ListParagraph"/>
              <w:numPr>
                <w:ilvl w:val="0"/>
                <w:numId w:val="1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Career management</w:t>
            </w:r>
          </w:p>
          <w:p w:rsidR="002B2164" w:rsidRPr="00793D65" w:rsidRDefault="002B2164" w:rsidP="002B2164">
            <w:pPr>
              <w:pStyle w:val="ListParagraph"/>
              <w:numPr>
                <w:ilvl w:val="0"/>
                <w:numId w:val="1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Continuing professional development</w:t>
            </w:r>
          </w:p>
          <w:p w:rsidR="002B2164" w:rsidRPr="00793D65" w:rsidRDefault="002B2164" w:rsidP="002B2164">
            <w:pPr>
              <w:pStyle w:val="ListParagraph"/>
              <w:numPr>
                <w:ilvl w:val="0"/>
                <w:numId w:val="1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 xml:space="preserve">Responsiveness to opportunities </w:t>
            </w:r>
          </w:p>
          <w:p w:rsidR="002B2164" w:rsidRPr="00793D65" w:rsidRDefault="002B2164" w:rsidP="002B2164">
            <w:pPr>
              <w:pStyle w:val="ListParagraph"/>
              <w:numPr>
                <w:ilvl w:val="0"/>
                <w:numId w:val="1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Networking</w:t>
            </w:r>
          </w:p>
          <w:p w:rsidR="002B2164" w:rsidRPr="00793D65" w:rsidRDefault="002B2164" w:rsidP="002B2164">
            <w:pPr>
              <w:pStyle w:val="ListParagraph"/>
              <w:numPr>
                <w:ilvl w:val="0"/>
                <w:numId w:val="1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Reputation and esteem</w:t>
            </w:r>
          </w:p>
          <w:p w:rsidR="002B2164" w:rsidRPr="00793D65" w:rsidRDefault="002B2164" w:rsidP="00DA354F">
            <w:pPr>
              <w:rPr>
                <w:rFonts w:cstheme="minorHAnsi"/>
                <w:sz w:val="24"/>
                <w:szCs w:val="24"/>
              </w:rPr>
            </w:pP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2EFD9" w:themeFill="accent6" w:themeFillTint="3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C1 – Professional Conduct</w:t>
            </w:r>
          </w:p>
        </w:tc>
      </w:tr>
      <w:tr w:rsidR="002B2164" w:rsidRPr="00793D65" w:rsidTr="00DA354F">
        <w:trPr>
          <w:trHeight w:val="2874"/>
        </w:trPr>
        <w:tc>
          <w:tcPr>
            <w:tcW w:w="2911" w:type="dxa"/>
            <w:tcBorders>
              <w:bottom w:val="single" w:sz="4" w:space="0" w:color="auto"/>
            </w:tcBorders>
            <w:shd w:val="clear" w:color="auto" w:fill="DBDBDB" w:themeFill="accent3" w:themeFillTint="66"/>
          </w:tcPr>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Healthy and Safety</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Ethics, principles and sustainability</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Legal requirements</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IPR and copyright</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Respect and confidentiality</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Attribution and co-authorship</w:t>
            </w:r>
          </w:p>
          <w:p w:rsidR="002B2164" w:rsidRPr="00793D65" w:rsidRDefault="002B2164" w:rsidP="002B2164">
            <w:pPr>
              <w:pStyle w:val="ListParagraph"/>
              <w:numPr>
                <w:ilvl w:val="0"/>
                <w:numId w:val="1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Appropriate practice</w:t>
            </w:r>
          </w:p>
          <w:p w:rsidR="002B2164" w:rsidRPr="00793D65" w:rsidRDefault="002B2164" w:rsidP="00DA354F">
            <w:pPr>
              <w:rPr>
                <w:rFonts w:cstheme="minorHAnsi"/>
                <w:sz w:val="24"/>
                <w:szCs w:val="24"/>
              </w:rPr>
            </w:pP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Borders>
              <w:bottom w:val="single" w:sz="4" w:space="0" w:color="auto"/>
            </w:tcBorders>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2EFD9" w:themeFill="accent6" w:themeFillTint="33"/>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C2 – Research management</w:t>
            </w:r>
          </w:p>
        </w:tc>
      </w:tr>
      <w:tr w:rsidR="002B2164" w:rsidRPr="00793D65" w:rsidTr="00DA354F">
        <w:trPr>
          <w:trHeight w:val="1499"/>
        </w:trPr>
        <w:tc>
          <w:tcPr>
            <w:tcW w:w="2911" w:type="dxa"/>
            <w:shd w:val="clear" w:color="auto" w:fill="DBDBDB" w:themeFill="accent3" w:themeFillTint="66"/>
          </w:tcPr>
          <w:p w:rsidR="002B2164" w:rsidRPr="00793D65" w:rsidRDefault="002B2164" w:rsidP="002B2164">
            <w:pPr>
              <w:pStyle w:val="ListParagraph"/>
              <w:numPr>
                <w:ilvl w:val="0"/>
                <w:numId w:val="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lastRenderedPageBreak/>
              <w:t>Research Strategy</w:t>
            </w:r>
          </w:p>
          <w:p w:rsidR="002B2164" w:rsidRPr="00793D65" w:rsidRDefault="002B2164" w:rsidP="002B2164">
            <w:pPr>
              <w:pStyle w:val="ListParagraph"/>
              <w:numPr>
                <w:ilvl w:val="0"/>
                <w:numId w:val="2"/>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Project planning and delivery</w:t>
            </w:r>
          </w:p>
          <w:p w:rsidR="002B2164" w:rsidRPr="00793D65" w:rsidRDefault="002B2164" w:rsidP="002B2164">
            <w:pPr>
              <w:pStyle w:val="ListParagraph"/>
              <w:numPr>
                <w:ilvl w:val="0"/>
                <w:numId w:val="2"/>
              </w:numPr>
              <w:spacing w:before="120" w:after="120"/>
              <w:ind w:left="426" w:hanging="284"/>
              <w:rPr>
                <w:rFonts w:cstheme="minorHAnsi"/>
                <w:sz w:val="24"/>
                <w:szCs w:val="24"/>
              </w:rPr>
            </w:pPr>
            <w:r w:rsidRPr="00793D65">
              <w:rPr>
                <w:rFonts w:asciiTheme="minorHAnsi" w:hAnsiTheme="minorHAnsi" w:cstheme="minorHAnsi"/>
                <w:sz w:val="24"/>
                <w:szCs w:val="24"/>
              </w:rPr>
              <w:t>Risk management</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2EFD9" w:themeFill="accent6" w:themeFillTint="33"/>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 xml:space="preserve">C3 – Finance, funding &amp; resources: </w:t>
            </w:r>
          </w:p>
        </w:tc>
      </w:tr>
      <w:tr w:rsidR="002B2164" w:rsidRPr="00793D65" w:rsidTr="00DA354F">
        <w:trPr>
          <w:trHeight w:val="1802"/>
        </w:trPr>
        <w:tc>
          <w:tcPr>
            <w:tcW w:w="2911" w:type="dxa"/>
            <w:shd w:val="clear" w:color="auto" w:fill="DBDBDB" w:themeFill="accent3" w:themeFillTint="66"/>
          </w:tcPr>
          <w:p w:rsidR="002B2164" w:rsidRPr="00793D65" w:rsidRDefault="002B2164" w:rsidP="002B2164">
            <w:pPr>
              <w:pStyle w:val="ListParagraph"/>
              <w:numPr>
                <w:ilvl w:val="0"/>
                <w:numId w:val="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Income and funding generation</w:t>
            </w:r>
          </w:p>
          <w:p w:rsidR="002B2164" w:rsidRPr="00793D65" w:rsidRDefault="002B2164" w:rsidP="002B2164">
            <w:pPr>
              <w:pStyle w:val="ListParagraph"/>
              <w:numPr>
                <w:ilvl w:val="0"/>
                <w:numId w:val="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Financial management</w:t>
            </w:r>
          </w:p>
          <w:p w:rsidR="002B2164" w:rsidRPr="00793D65" w:rsidRDefault="002B2164" w:rsidP="002B2164">
            <w:pPr>
              <w:pStyle w:val="ListParagraph"/>
              <w:numPr>
                <w:ilvl w:val="0"/>
                <w:numId w:val="1"/>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Infrastructure and resources</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ECDC8"/>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D1 – Working with others</w:t>
            </w:r>
          </w:p>
        </w:tc>
      </w:tr>
      <w:tr w:rsidR="002B2164" w:rsidRPr="00793D65" w:rsidTr="00DA354F">
        <w:trPr>
          <w:trHeight w:val="3066"/>
        </w:trPr>
        <w:tc>
          <w:tcPr>
            <w:tcW w:w="2911" w:type="dxa"/>
            <w:shd w:val="clear" w:color="auto" w:fill="DBDBDB" w:themeFill="accent3" w:themeFillTint="66"/>
          </w:tcPr>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Collegiality</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Team working</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People management</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Supervision</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Mentoring</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Influence and leadership</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Collaboration</w:t>
            </w:r>
          </w:p>
          <w:p w:rsidR="002B2164" w:rsidRPr="00793D65" w:rsidRDefault="002B2164" w:rsidP="002B2164">
            <w:pPr>
              <w:pStyle w:val="ListParagraph"/>
              <w:numPr>
                <w:ilvl w:val="0"/>
                <w:numId w:val="8"/>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 xml:space="preserve">Equality and diversity </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ECDC8"/>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D2 – Communication &amp; dissemination</w:t>
            </w:r>
          </w:p>
        </w:tc>
      </w:tr>
      <w:tr w:rsidR="002B2164" w:rsidRPr="00793D65" w:rsidTr="00DA354F">
        <w:trPr>
          <w:trHeight w:val="1499"/>
        </w:trPr>
        <w:tc>
          <w:tcPr>
            <w:tcW w:w="2911" w:type="dxa"/>
            <w:shd w:val="clear" w:color="auto" w:fill="DBDBDB" w:themeFill="accent3" w:themeFillTint="66"/>
          </w:tcPr>
          <w:p w:rsidR="002B2164" w:rsidRPr="00793D65" w:rsidRDefault="002B2164" w:rsidP="002B2164">
            <w:pPr>
              <w:pStyle w:val="ListParagraph"/>
              <w:numPr>
                <w:ilvl w:val="0"/>
                <w:numId w:val="9"/>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Communication methods</w:t>
            </w:r>
          </w:p>
          <w:p w:rsidR="002B2164" w:rsidRPr="00793D65" w:rsidRDefault="002B2164" w:rsidP="002B2164">
            <w:pPr>
              <w:pStyle w:val="ListParagraph"/>
              <w:numPr>
                <w:ilvl w:val="0"/>
                <w:numId w:val="9"/>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Communication media</w:t>
            </w:r>
          </w:p>
          <w:p w:rsidR="002B2164" w:rsidRPr="00793D65" w:rsidRDefault="002B2164" w:rsidP="002B2164">
            <w:pPr>
              <w:pStyle w:val="ListParagraph"/>
              <w:numPr>
                <w:ilvl w:val="0"/>
                <w:numId w:val="9"/>
              </w:numPr>
              <w:spacing w:before="120" w:after="120"/>
              <w:ind w:left="426" w:hanging="284"/>
            </w:pPr>
            <w:r w:rsidRPr="00793D65">
              <w:rPr>
                <w:rFonts w:asciiTheme="minorHAnsi" w:hAnsiTheme="minorHAnsi" w:cstheme="minorHAnsi"/>
                <w:sz w:val="24"/>
                <w:szCs w:val="24"/>
              </w:rPr>
              <w:t xml:space="preserve">Publication </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tc>
      </w:tr>
      <w:tr w:rsidR="002B2164" w:rsidRPr="00793D65" w:rsidTr="00DA354F">
        <w:tc>
          <w:tcPr>
            <w:tcW w:w="9242" w:type="dxa"/>
            <w:gridSpan w:val="3"/>
            <w:shd w:val="clear" w:color="auto" w:fill="EECDC8"/>
          </w:tcPr>
          <w:p w:rsidR="002B2164" w:rsidRPr="00793D65" w:rsidRDefault="002B2164" w:rsidP="00DA354F">
            <w:pPr>
              <w:rPr>
                <w:rFonts w:asciiTheme="minorHAnsi" w:hAnsiTheme="minorHAnsi" w:cstheme="minorHAnsi"/>
                <w:color w:val="000000" w:themeColor="text1"/>
                <w:sz w:val="24"/>
                <w:szCs w:val="24"/>
              </w:rPr>
            </w:pPr>
            <w:r w:rsidRPr="00793D65">
              <w:rPr>
                <w:rFonts w:asciiTheme="minorHAnsi" w:hAnsiTheme="minorHAnsi" w:cstheme="minorHAnsi"/>
                <w:sz w:val="24"/>
                <w:szCs w:val="24"/>
              </w:rPr>
              <w:t>D3 – Engagement and impact</w:t>
            </w:r>
          </w:p>
        </w:tc>
      </w:tr>
      <w:tr w:rsidR="002B2164" w:rsidRPr="00793D65" w:rsidTr="00DA354F">
        <w:trPr>
          <w:trHeight w:val="1820"/>
        </w:trPr>
        <w:tc>
          <w:tcPr>
            <w:tcW w:w="2911" w:type="dxa"/>
            <w:shd w:val="clear" w:color="auto" w:fill="DBDBDB" w:themeFill="accent3" w:themeFillTint="66"/>
          </w:tcPr>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Teaching</w:t>
            </w:r>
          </w:p>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Public Engagement</w:t>
            </w:r>
          </w:p>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Enterprise</w:t>
            </w:r>
          </w:p>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Policy</w:t>
            </w:r>
          </w:p>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Society and culture</w:t>
            </w:r>
          </w:p>
          <w:p w:rsidR="002B2164" w:rsidRPr="00793D65" w:rsidRDefault="002B2164" w:rsidP="002B2164">
            <w:pPr>
              <w:pStyle w:val="ListParagraph"/>
              <w:numPr>
                <w:ilvl w:val="0"/>
                <w:numId w:val="10"/>
              </w:numPr>
              <w:spacing w:before="120" w:after="120"/>
              <w:ind w:left="426" w:hanging="284"/>
              <w:rPr>
                <w:rFonts w:asciiTheme="minorHAnsi" w:hAnsiTheme="minorHAnsi" w:cstheme="minorHAnsi"/>
                <w:sz w:val="24"/>
                <w:szCs w:val="24"/>
              </w:rPr>
            </w:pPr>
            <w:r w:rsidRPr="00793D65">
              <w:rPr>
                <w:rFonts w:asciiTheme="minorHAnsi" w:hAnsiTheme="minorHAnsi" w:cstheme="minorHAnsi"/>
                <w:sz w:val="24"/>
                <w:szCs w:val="24"/>
              </w:rPr>
              <w:t>Global citizenship</w:t>
            </w:r>
          </w:p>
        </w:tc>
        <w:tc>
          <w:tcPr>
            <w:tcW w:w="1708" w:type="dxa"/>
          </w:tcPr>
          <w:p w:rsidR="002B2164" w:rsidRPr="00793D65" w:rsidRDefault="002B2164" w:rsidP="00DA354F">
            <w:pPr>
              <w:rPr>
                <w:rFonts w:asciiTheme="minorHAnsi" w:hAnsiTheme="minorHAnsi" w:cstheme="minorHAnsi"/>
                <w:color w:val="000000" w:themeColor="text1"/>
                <w:sz w:val="24"/>
                <w:szCs w:val="24"/>
              </w:rPr>
            </w:pPr>
          </w:p>
        </w:tc>
        <w:tc>
          <w:tcPr>
            <w:tcW w:w="4623" w:type="dxa"/>
          </w:tcPr>
          <w:p w:rsidR="002B2164" w:rsidRPr="00793D65" w:rsidRDefault="002B2164" w:rsidP="00DA354F">
            <w:pPr>
              <w:rPr>
                <w:rFonts w:asciiTheme="minorHAnsi" w:hAnsiTheme="minorHAnsi" w:cstheme="minorHAnsi"/>
                <w:color w:val="000000" w:themeColor="text1"/>
                <w:sz w:val="24"/>
                <w:szCs w:val="24"/>
              </w:rPr>
            </w:pPr>
          </w:p>
        </w:tc>
      </w:tr>
    </w:tbl>
    <w:p w:rsidR="002B2164" w:rsidRDefault="002B2164" w:rsidP="002B2164">
      <w:pPr>
        <w:pStyle w:val="ILH2"/>
        <w:rPr>
          <w:rFonts w:asciiTheme="minorHAnsi" w:hAnsiTheme="minorHAnsi" w:cstheme="minorHAnsi"/>
          <w:sz w:val="24"/>
          <w:szCs w:val="24"/>
        </w:rPr>
      </w:pPr>
    </w:p>
    <w:p w:rsidR="002B2164" w:rsidRDefault="002B2164" w:rsidP="002B2164">
      <w:pPr>
        <w:rPr>
          <w:rFonts w:cstheme="minorHAnsi"/>
          <w:sz w:val="24"/>
          <w:szCs w:val="24"/>
        </w:rPr>
      </w:pPr>
      <w:r>
        <w:rPr>
          <w:rFonts w:cstheme="minorHAnsi"/>
          <w:sz w:val="24"/>
          <w:szCs w:val="24"/>
        </w:rPr>
        <w:br w:type="page"/>
      </w:r>
    </w:p>
    <w:p w:rsidR="002B2164" w:rsidRPr="00793D65" w:rsidRDefault="002B2164" w:rsidP="002B2164">
      <w:pPr>
        <w:pStyle w:val="ILH2"/>
        <w:rPr>
          <w:rFonts w:asciiTheme="minorHAnsi" w:hAnsiTheme="minorHAnsi" w:cstheme="minorHAnsi"/>
          <w:sz w:val="24"/>
          <w:szCs w:val="24"/>
        </w:rPr>
      </w:pPr>
      <w:r w:rsidRPr="00793D65">
        <w:rPr>
          <w:rFonts w:asciiTheme="minorHAnsi" w:hAnsiTheme="minorHAnsi" w:cstheme="minorHAnsi"/>
          <w:sz w:val="24"/>
          <w:szCs w:val="24"/>
        </w:rPr>
        <w:lastRenderedPageBreak/>
        <w:t>Part 2: Training Plan</w:t>
      </w:r>
    </w:p>
    <w:tbl>
      <w:tblPr>
        <w:tblStyle w:val="TableGrid"/>
        <w:tblW w:w="0" w:type="auto"/>
        <w:tblLook w:val="04A0" w:firstRow="1" w:lastRow="0" w:firstColumn="1" w:lastColumn="0" w:noHBand="0" w:noVBand="1"/>
      </w:tblPr>
      <w:tblGrid>
        <w:gridCol w:w="2381"/>
        <w:gridCol w:w="5921"/>
      </w:tblGrid>
      <w:tr w:rsidR="002B2164" w:rsidRPr="00793D65" w:rsidTr="00DA354F">
        <w:tc>
          <w:tcPr>
            <w:tcW w:w="2518" w:type="dxa"/>
            <w:shd w:val="clear" w:color="auto" w:fill="C9C9C9" w:themeFill="accent3" w:themeFillTint="99"/>
          </w:tcPr>
          <w:p w:rsidR="002B2164" w:rsidRPr="00793D65" w:rsidRDefault="002B2164" w:rsidP="00DA354F">
            <w:pPr>
              <w:rPr>
                <w:rFonts w:asciiTheme="minorHAnsi" w:hAnsiTheme="minorHAnsi" w:cstheme="minorHAnsi"/>
                <w:b/>
                <w:color w:val="00005A"/>
                <w:sz w:val="24"/>
                <w:szCs w:val="24"/>
              </w:rPr>
            </w:pPr>
            <w:r w:rsidRPr="00793D65">
              <w:rPr>
                <w:rFonts w:asciiTheme="minorHAnsi" w:hAnsiTheme="minorHAnsi" w:cstheme="minorHAnsi"/>
                <w:b/>
                <w:sz w:val="24"/>
                <w:szCs w:val="24"/>
              </w:rPr>
              <w:t>RDS Domain</w:t>
            </w:r>
          </w:p>
        </w:tc>
        <w:tc>
          <w:tcPr>
            <w:tcW w:w="6724" w:type="dxa"/>
            <w:shd w:val="clear" w:color="auto" w:fill="C9C9C9" w:themeFill="accent3" w:themeFillTint="99"/>
          </w:tcPr>
          <w:p w:rsidR="002B2164" w:rsidRPr="00793D65" w:rsidRDefault="002B2164" w:rsidP="00DA354F">
            <w:pPr>
              <w:rPr>
                <w:rFonts w:asciiTheme="minorHAnsi" w:hAnsiTheme="minorHAnsi" w:cstheme="minorHAnsi"/>
                <w:b/>
                <w:sz w:val="24"/>
                <w:szCs w:val="24"/>
              </w:rPr>
            </w:pPr>
            <w:r w:rsidRPr="00793D65">
              <w:rPr>
                <w:rFonts w:asciiTheme="minorHAnsi" w:hAnsiTheme="minorHAnsi" w:cstheme="minorHAnsi"/>
                <w:b/>
                <w:sz w:val="24"/>
                <w:szCs w:val="24"/>
              </w:rPr>
              <w:t>Training / professional development activity</w:t>
            </w:r>
          </w:p>
        </w:tc>
      </w:tr>
      <w:tr w:rsidR="002B2164" w:rsidRPr="00793D65" w:rsidTr="00DA354F">
        <w:trPr>
          <w:trHeight w:val="2883"/>
        </w:trPr>
        <w:tc>
          <w:tcPr>
            <w:tcW w:w="2518" w:type="dxa"/>
            <w:shd w:val="clear" w:color="auto" w:fill="D9E2F3" w:themeFill="accent5" w:themeFillTint="33"/>
          </w:tcPr>
          <w:p w:rsidR="002B2164" w:rsidRPr="00793D65" w:rsidRDefault="002B2164" w:rsidP="00DA354F">
            <w:pPr>
              <w:rPr>
                <w:rFonts w:asciiTheme="minorHAnsi" w:hAnsiTheme="minorHAnsi" w:cstheme="minorHAnsi"/>
                <w:b/>
                <w:sz w:val="24"/>
                <w:szCs w:val="24"/>
              </w:rPr>
            </w:pPr>
            <w:r w:rsidRPr="00793D65">
              <w:rPr>
                <w:rFonts w:asciiTheme="minorHAnsi" w:hAnsiTheme="minorHAnsi" w:cstheme="minorHAnsi"/>
                <w:b/>
                <w:sz w:val="24"/>
                <w:szCs w:val="24"/>
              </w:rPr>
              <w:t>Domain A: Knowledge and intellectual abilities</w:t>
            </w:r>
          </w:p>
          <w:p w:rsidR="002B2164" w:rsidRPr="00793D65" w:rsidRDefault="002B2164" w:rsidP="00DA354F">
            <w:pPr>
              <w:rPr>
                <w:rFonts w:asciiTheme="minorHAnsi" w:hAnsiTheme="minorHAnsi" w:cstheme="minorHAnsi"/>
                <w:color w:val="00005A"/>
                <w:sz w:val="24"/>
                <w:szCs w:val="24"/>
              </w:rPr>
            </w:pPr>
            <w:r w:rsidRPr="00793D65">
              <w:rPr>
                <w:rFonts w:asciiTheme="minorHAnsi" w:hAnsiTheme="minorHAnsi" w:cstheme="minorHAnsi"/>
                <w:sz w:val="24"/>
                <w:szCs w:val="24"/>
              </w:rPr>
              <w:t>This domain relates to the knowledge and intellectual abilities needed to be able to carry out excellent research.</w:t>
            </w:r>
          </w:p>
        </w:tc>
        <w:tc>
          <w:tcPr>
            <w:tcW w:w="6724" w:type="dxa"/>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any training that you will undertake to develop skills in this area</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 xml:space="preserve">Please list how you will develop skills in this area through practical experience </w:t>
            </w:r>
          </w:p>
          <w:p w:rsidR="002B2164" w:rsidRPr="00793D65" w:rsidRDefault="002B2164" w:rsidP="00DA354F">
            <w:pPr>
              <w:rPr>
                <w:rFonts w:asciiTheme="minorHAnsi" w:hAnsiTheme="minorHAnsi" w:cstheme="minorHAnsi"/>
                <w:sz w:val="24"/>
                <w:szCs w:val="24"/>
              </w:rPr>
            </w:pPr>
          </w:p>
        </w:tc>
      </w:tr>
      <w:tr w:rsidR="002B2164" w:rsidRPr="00793D65" w:rsidTr="00DA354F">
        <w:trPr>
          <w:trHeight w:val="2826"/>
        </w:trPr>
        <w:tc>
          <w:tcPr>
            <w:tcW w:w="2518" w:type="dxa"/>
            <w:shd w:val="clear" w:color="auto" w:fill="D5D3E3"/>
          </w:tcPr>
          <w:p w:rsidR="002B2164" w:rsidRPr="00793D65" w:rsidRDefault="002B2164" w:rsidP="00DA354F">
            <w:pPr>
              <w:rPr>
                <w:rFonts w:asciiTheme="minorHAnsi" w:hAnsiTheme="minorHAnsi" w:cstheme="minorHAnsi"/>
                <w:b/>
                <w:sz w:val="24"/>
                <w:szCs w:val="24"/>
              </w:rPr>
            </w:pPr>
            <w:r w:rsidRPr="00793D65">
              <w:rPr>
                <w:rFonts w:asciiTheme="minorHAnsi" w:hAnsiTheme="minorHAnsi" w:cstheme="minorHAnsi"/>
                <w:b/>
                <w:sz w:val="24"/>
                <w:szCs w:val="24"/>
              </w:rPr>
              <w:t>Domain B: Personal effectiveness</w:t>
            </w:r>
          </w:p>
          <w:p w:rsidR="002B2164" w:rsidRPr="00793D65" w:rsidRDefault="002B2164" w:rsidP="00DA354F">
            <w:pPr>
              <w:rPr>
                <w:rFonts w:asciiTheme="minorHAnsi" w:hAnsiTheme="minorHAnsi" w:cstheme="minorHAnsi"/>
                <w:color w:val="00005A"/>
                <w:sz w:val="24"/>
                <w:szCs w:val="24"/>
              </w:rPr>
            </w:pPr>
            <w:r w:rsidRPr="00793D65">
              <w:rPr>
                <w:rFonts w:asciiTheme="minorHAnsi" w:hAnsiTheme="minorHAnsi" w:cstheme="minorHAnsi"/>
                <w:sz w:val="24"/>
                <w:szCs w:val="24"/>
              </w:rPr>
              <w:t>This domain contains the personal qualities, career and self-management skills required to take ownership for and engage in professional development.</w:t>
            </w:r>
          </w:p>
        </w:tc>
        <w:tc>
          <w:tcPr>
            <w:tcW w:w="6724" w:type="dxa"/>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any training that you will undertake to develop skills in this area</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how you will develop skills in this area through practical experience</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color w:val="00005A"/>
                <w:sz w:val="24"/>
                <w:szCs w:val="24"/>
              </w:rPr>
            </w:pPr>
          </w:p>
        </w:tc>
      </w:tr>
      <w:tr w:rsidR="002B2164" w:rsidRPr="00793D65" w:rsidTr="00DA354F">
        <w:trPr>
          <w:trHeight w:val="3108"/>
        </w:trPr>
        <w:tc>
          <w:tcPr>
            <w:tcW w:w="2518" w:type="dxa"/>
            <w:shd w:val="clear" w:color="auto" w:fill="E2EFD9" w:themeFill="accent6" w:themeFillTint="33"/>
          </w:tcPr>
          <w:p w:rsidR="002B2164" w:rsidRPr="00793D65" w:rsidRDefault="002B2164" w:rsidP="00DA354F">
            <w:pPr>
              <w:rPr>
                <w:rFonts w:asciiTheme="minorHAnsi" w:hAnsiTheme="minorHAnsi" w:cstheme="minorHAnsi"/>
                <w:b/>
                <w:sz w:val="24"/>
                <w:szCs w:val="24"/>
              </w:rPr>
            </w:pPr>
            <w:r w:rsidRPr="00793D65">
              <w:rPr>
                <w:rFonts w:asciiTheme="minorHAnsi" w:hAnsiTheme="minorHAnsi" w:cstheme="minorHAnsi"/>
                <w:b/>
                <w:sz w:val="24"/>
                <w:szCs w:val="24"/>
              </w:rPr>
              <w:t>Domain C: Research governance and organisation</w:t>
            </w:r>
          </w:p>
          <w:p w:rsidR="002B2164" w:rsidRPr="00793D65" w:rsidRDefault="002B2164" w:rsidP="00DA354F">
            <w:pPr>
              <w:rPr>
                <w:rFonts w:asciiTheme="minorHAnsi" w:hAnsiTheme="minorHAnsi" w:cstheme="minorHAnsi"/>
                <w:color w:val="00005A"/>
                <w:sz w:val="24"/>
                <w:szCs w:val="24"/>
              </w:rPr>
            </w:pPr>
            <w:r w:rsidRPr="00793D65">
              <w:rPr>
                <w:rFonts w:asciiTheme="minorHAnsi" w:hAnsiTheme="minorHAnsi" w:cstheme="minorHAnsi"/>
                <w:sz w:val="24"/>
                <w:szCs w:val="24"/>
              </w:rPr>
              <w:t>This domain relates to the knowledge of the standards, requirements and professional conduct that are needed for the effective management of research.</w:t>
            </w:r>
          </w:p>
        </w:tc>
        <w:tc>
          <w:tcPr>
            <w:tcW w:w="6724" w:type="dxa"/>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any training that you will undertake to develop skills in this area</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how you will develop skills in this area through practical experience</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color w:val="00005A"/>
                <w:sz w:val="24"/>
                <w:szCs w:val="24"/>
              </w:rPr>
            </w:pPr>
          </w:p>
          <w:p w:rsidR="002B2164" w:rsidRPr="00793D65" w:rsidRDefault="002B2164" w:rsidP="00DA354F">
            <w:pPr>
              <w:rPr>
                <w:rFonts w:asciiTheme="minorHAnsi" w:hAnsiTheme="minorHAnsi" w:cstheme="minorHAnsi"/>
                <w:color w:val="00005A"/>
                <w:sz w:val="24"/>
                <w:szCs w:val="24"/>
              </w:rPr>
            </w:pPr>
          </w:p>
        </w:tc>
      </w:tr>
      <w:tr w:rsidR="002B2164" w:rsidRPr="00793D65" w:rsidTr="00DA354F">
        <w:trPr>
          <w:trHeight w:val="3104"/>
        </w:trPr>
        <w:tc>
          <w:tcPr>
            <w:tcW w:w="2518" w:type="dxa"/>
            <w:shd w:val="clear" w:color="auto" w:fill="EECDC8"/>
          </w:tcPr>
          <w:p w:rsidR="002B2164" w:rsidRPr="00793D65" w:rsidRDefault="002B2164" w:rsidP="00DA354F">
            <w:pPr>
              <w:rPr>
                <w:rFonts w:asciiTheme="minorHAnsi" w:hAnsiTheme="minorHAnsi" w:cstheme="minorHAnsi"/>
                <w:b/>
                <w:sz w:val="24"/>
                <w:szCs w:val="24"/>
              </w:rPr>
            </w:pPr>
            <w:r w:rsidRPr="00793D65">
              <w:rPr>
                <w:rFonts w:asciiTheme="minorHAnsi" w:hAnsiTheme="minorHAnsi" w:cstheme="minorHAnsi"/>
                <w:b/>
                <w:sz w:val="24"/>
                <w:szCs w:val="24"/>
              </w:rPr>
              <w:lastRenderedPageBreak/>
              <w:t>Domain D: Engagement, influence and impact</w:t>
            </w:r>
          </w:p>
          <w:p w:rsidR="002B2164" w:rsidRPr="00793D65" w:rsidRDefault="002B2164" w:rsidP="00DA354F">
            <w:pPr>
              <w:rPr>
                <w:rFonts w:asciiTheme="minorHAnsi" w:hAnsiTheme="minorHAnsi" w:cstheme="minorHAnsi"/>
                <w:color w:val="00005A"/>
                <w:sz w:val="24"/>
                <w:szCs w:val="24"/>
              </w:rPr>
            </w:pPr>
            <w:r w:rsidRPr="00793D65">
              <w:rPr>
                <w:rFonts w:asciiTheme="minorHAnsi" w:hAnsiTheme="minorHAnsi" w:cstheme="minorHAnsi"/>
                <w:sz w:val="24"/>
                <w:szCs w:val="24"/>
              </w:rPr>
              <w:t>This domain relates to the knowledge, understanding and skills needed to engage with, influence and impact on the academic, social, cultural, economic and broader context.</w:t>
            </w:r>
          </w:p>
        </w:tc>
        <w:tc>
          <w:tcPr>
            <w:tcW w:w="6724" w:type="dxa"/>
          </w:tcPr>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any training that you will undertake to develop skills in this area</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sz w:val="24"/>
                <w:szCs w:val="24"/>
              </w:rPr>
            </w:pPr>
            <w:r w:rsidRPr="00793D65">
              <w:rPr>
                <w:rFonts w:asciiTheme="minorHAnsi" w:hAnsiTheme="minorHAnsi" w:cstheme="minorHAnsi"/>
                <w:sz w:val="24"/>
                <w:szCs w:val="24"/>
              </w:rPr>
              <w:t>Please list how you will develop skills in this area through practical experience</w:t>
            </w:r>
          </w:p>
          <w:p w:rsidR="002B2164" w:rsidRPr="00793D65" w:rsidRDefault="002B2164" w:rsidP="00DA354F">
            <w:pPr>
              <w:rPr>
                <w:rFonts w:asciiTheme="minorHAnsi" w:hAnsiTheme="minorHAnsi" w:cstheme="minorHAnsi"/>
                <w:sz w:val="24"/>
                <w:szCs w:val="24"/>
              </w:rPr>
            </w:pPr>
          </w:p>
          <w:p w:rsidR="002B2164" w:rsidRPr="00793D65" w:rsidRDefault="002B2164" w:rsidP="00DA354F">
            <w:pPr>
              <w:rPr>
                <w:rFonts w:asciiTheme="minorHAnsi" w:hAnsiTheme="minorHAnsi" w:cstheme="minorHAnsi"/>
                <w:color w:val="00005A"/>
                <w:sz w:val="24"/>
                <w:szCs w:val="24"/>
              </w:rPr>
            </w:pPr>
          </w:p>
        </w:tc>
      </w:tr>
    </w:tbl>
    <w:p w:rsidR="002B2164" w:rsidRPr="00091ADB" w:rsidRDefault="002B2164" w:rsidP="002B2164">
      <w:pPr>
        <w:pStyle w:val="paragraph"/>
        <w:spacing w:before="0" w:beforeAutospacing="0" w:after="0" w:afterAutospacing="0"/>
        <w:textAlignment w:val="baseline"/>
      </w:pPr>
    </w:p>
    <w:p w:rsidR="00647106" w:rsidRDefault="00647106"/>
    <w:sectPr w:rsidR="00647106" w:rsidSect="002B2164">
      <w:footerReference w:type="even" r:id="rId9"/>
      <w:footerReference w:type="default" r:id="rId10"/>
      <w:pgSz w:w="11906" w:h="16838" w:code="9"/>
      <w:pgMar w:top="426" w:right="1797" w:bottom="85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64" w:rsidRDefault="002B2164" w:rsidP="002B2164">
      <w:pPr>
        <w:spacing w:after="0"/>
      </w:pPr>
      <w:r>
        <w:separator/>
      </w:r>
    </w:p>
  </w:endnote>
  <w:endnote w:type="continuationSeparator" w:id="0">
    <w:p w:rsidR="002B2164" w:rsidRDefault="002B2164" w:rsidP="002B2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07" w:rsidRDefault="002B2164" w:rsidP="001771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807" w:rsidRDefault="002B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07" w:rsidRDefault="002B2164" w:rsidP="00BF5183">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64" w:rsidRDefault="002B2164" w:rsidP="002B2164">
      <w:pPr>
        <w:spacing w:after="0"/>
      </w:pPr>
      <w:r>
        <w:separator/>
      </w:r>
    </w:p>
  </w:footnote>
  <w:footnote w:type="continuationSeparator" w:id="0">
    <w:p w:rsidR="002B2164" w:rsidRDefault="002B2164" w:rsidP="002B21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1E"/>
    <w:multiLevelType w:val="hybridMultilevel"/>
    <w:tmpl w:val="A88C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70FD"/>
    <w:multiLevelType w:val="hybridMultilevel"/>
    <w:tmpl w:val="EF8C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41C2"/>
    <w:multiLevelType w:val="hybridMultilevel"/>
    <w:tmpl w:val="FF2A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37A92"/>
    <w:multiLevelType w:val="hybridMultilevel"/>
    <w:tmpl w:val="002A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2769"/>
    <w:multiLevelType w:val="hybridMultilevel"/>
    <w:tmpl w:val="225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2058E"/>
    <w:multiLevelType w:val="hybridMultilevel"/>
    <w:tmpl w:val="A44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B5472"/>
    <w:multiLevelType w:val="hybridMultilevel"/>
    <w:tmpl w:val="E40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958D4"/>
    <w:multiLevelType w:val="hybridMultilevel"/>
    <w:tmpl w:val="118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0387D"/>
    <w:multiLevelType w:val="hybridMultilevel"/>
    <w:tmpl w:val="876A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C623C"/>
    <w:multiLevelType w:val="hybridMultilevel"/>
    <w:tmpl w:val="AF86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939D5"/>
    <w:multiLevelType w:val="hybridMultilevel"/>
    <w:tmpl w:val="9F7C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E40E5"/>
    <w:multiLevelType w:val="hybridMultilevel"/>
    <w:tmpl w:val="B3D8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8"/>
  </w:num>
  <w:num w:numId="5">
    <w:abstractNumId w:val="0"/>
  </w:num>
  <w:num w:numId="6">
    <w:abstractNumId w:val="9"/>
  </w:num>
  <w:num w:numId="7">
    <w:abstractNumId w:val="7"/>
  </w:num>
  <w:num w:numId="8">
    <w:abstractNumId w:val="6"/>
  </w:num>
  <w:num w:numId="9">
    <w:abstractNumId w:val="5"/>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64"/>
    <w:rsid w:val="002B2164"/>
    <w:rsid w:val="0064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1494-05A6-4925-B73D-BAE59284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64"/>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2164"/>
    <w:pPr>
      <w:tabs>
        <w:tab w:val="center" w:pos="4153"/>
        <w:tab w:val="right" w:pos="8306"/>
      </w:tabs>
      <w:spacing w:after="0"/>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2B2164"/>
    <w:rPr>
      <w:rFonts w:ascii="Verdana" w:eastAsia="Times New Roman" w:hAnsi="Verdana" w:cs="Times New Roman"/>
      <w:sz w:val="20"/>
      <w:szCs w:val="20"/>
      <w:lang w:eastAsia="en-GB"/>
    </w:rPr>
  </w:style>
  <w:style w:type="paragraph" w:styleId="Footer">
    <w:name w:val="footer"/>
    <w:basedOn w:val="Normal"/>
    <w:link w:val="FooterChar"/>
    <w:rsid w:val="002B2164"/>
    <w:pPr>
      <w:tabs>
        <w:tab w:val="center" w:pos="4153"/>
        <w:tab w:val="right" w:pos="8306"/>
      </w:tabs>
      <w:spacing w:after="0"/>
    </w:pPr>
    <w:rPr>
      <w:rFonts w:ascii="Verdana" w:eastAsia="Times New Roman" w:hAnsi="Verdana" w:cs="Times New Roman"/>
      <w:sz w:val="20"/>
      <w:szCs w:val="20"/>
      <w:lang w:eastAsia="en-GB"/>
    </w:rPr>
  </w:style>
  <w:style w:type="character" w:customStyle="1" w:styleId="FooterChar">
    <w:name w:val="Footer Char"/>
    <w:basedOn w:val="DefaultParagraphFont"/>
    <w:link w:val="Footer"/>
    <w:rsid w:val="002B2164"/>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rsid w:val="002B2164"/>
    <w:rPr>
      <w:rFonts w:cs="Times New Roman"/>
      <w:sz w:val="16"/>
    </w:rPr>
  </w:style>
  <w:style w:type="paragraph" w:styleId="CommentText">
    <w:name w:val="annotation text"/>
    <w:basedOn w:val="Normal"/>
    <w:link w:val="CommentTextChar"/>
    <w:uiPriority w:val="99"/>
    <w:semiHidden/>
    <w:rsid w:val="002B2164"/>
    <w:pPr>
      <w:spacing w:after="0"/>
    </w:pPr>
    <w:rPr>
      <w:rFonts w:ascii="Times" w:eastAsia="Times New Roman" w:hAnsi="Times" w:cs="Times New Roman"/>
      <w:sz w:val="20"/>
      <w:szCs w:val="20"/>
      <w:lang w:eastAsia="en-GB"/>
    </w:rPr>
  </w:style>
  <w:style w:type="character" w:customStyle="1" w:styleId="CommentTextChar">
    <w:name w:val="Comment Text Char"/>
    <w:basedOn w:val="DefaultParagraphFont"/>
    <w:link w:val="CommentText"/>
    <w:uiPriority w:val="99"/>
    <w:semiHidden/>
    <w:rsid w:val="002B2164"/>
    <w:rPr>
      <w:rFonts w:ascii="Times" w:eastAsia="Times New Roman" w:hAnsi="Times" w:cs="Times New Roman"/>
      <w:sz w:val="20"/>
      <w:szCs w:val="20"/>
      <w:lang w:eastAsia="en-GB"/>
    </w:rPr>
  </w:style>
  <w:style w:type="character" w:styleId="Hyperlink">
    <w:name w:val="Hyperlink"/>
    <w:basedOn w:val="DefaultParagraphFont"/>
    <w:uiPriority w:val="99"/>
    <w:rsid w:val="002B2164"/>
    <w:rPr>
      <w:rFonts w:cs="Times New Roman"/>
      <w:color w:val="0000FF"/>
      <w:u w:val="single"/>
    </w:rPr>
  </w:style>
  <w:style w:type="character" w:styleId="PageNumber">
    <w:name w:val="page number"/>
    <w:basedOn w:val="DefaultParagraphFont"/>
    <w:rsid w:val="002B2164"/>
    <w:rPr>
      <w:rFonts w:cs="Times New Roman"/>
    </w:rPr>
  </w:style>
  <w:style w:type="table" w:styleId="TableGrid">
    <w:name w:val="Table Grid"/>
    <w:basedOn w:val="TableNormal"/>
    <w:uiPriority w:val="39"/>
    <w:rsid w:val="002B21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164"/>
    <w:pPr>
      <w:ind w:left="720"/>
      <w:contextualSpacing/>
    </w:pPr>
  </w:style>
  <w:style w:type="paragraph" w:customStyle="1" w:styleId="paragraph">
    <w:name w:val="paragraph"/>
    <w:basedOn w:val="Normal"/>
    <w:rsid w:val="002B2164"/>
    <w:pPr>
      <w:spacing w:before="100" w:beforeAutospacing="1" w:after="100" w:afterAutospacing="1"/>
    </w:pPr>
    <w:rPr>
      <w:rFonts w:ascii="Times New Roman" w:eastAsia="Times New Roman" w:hAnsi="Times New Roman" w:cs="Times New Roman"/>
      <w:sz w:val="24"/>
      <w:szCs w:val="24"/>
      <w:lang w:val="en-US"/>
    </w:rPr>
  </w:style>
  <w:style w:type="paragraph" w:customStyle="1" w:styleId="ILH2">
    <w:name w:val="IL_H2"/>
    <w:basedOn w:val="Normal"/>
    <w:next w:val="Normal"/>
    <w:qFormat/>
    <w:rsid w:val="002B2164"/>
    <w:pPr>
      <w:spacing w:before="120" w:after="120"/>
    </w:pPr>
    <w:rPr>
      <w:rFonts w:ascii="Cambria" w:hAnsi="Cambria"/>
      <w:sz w:val="28"/>
    </w:rPr>
  </w:style>
  <w:style w:type="paragraph" w:styleId="BalloonText">
    <w:name w:val="Balloon Text"/>
    <w:basedOn w:val="Normal"/>
    <w:link w:val="BalloonTextChar"/>
    <w:uiPriority w:val="99"/>
    <w:semiHidden/>
    <w:unhideWhenUsed/>
    <w:rsid w:val="002B21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vitae.ac.uk/vitae-publications/rdf-related/researcher-development-framework-rdf-vitae.pdf/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Letham</dc:creator>
  <cp:keywords/>
  <dc:description/>
  <cp:lastModifiedBy>Samantha Letham</cp:lastModifiedBy>
  <cp:revision>1</cp:revision>
  <dcterms:created xsi:type="dcterms:W3CDTF">2021-08-23T13:14:00Z</dcterms:created>
  <dcterms:modified xsi:type="dcterms:W3CDTF">2021-08-23T13:16:00Z</dcterms:modified>
</cp:coreProperties>
</file>